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i w:val="false"/>
          <w:i w:val="false"/>
          <w:iCs w:val="false"/>
          <w:sz w:val="20"/>
          <w:szCs w:val="20"/>
        </w:rPr>
      </w:pPr>
      <w:r>
        <w:rPr>
          <w:rFonts w:eastAsia="Times New Roman" w:cs="Times New Roman" w:ascii="Times New Roman" w:hAnsi="Times New Roman"/>
          <w:i w:val="false"/>
          <w:iCs w:val="false"/>
          <w:sz w:val="20"/>
          <w:szCs w:val="20"/>
        </w:rPr>
        <w:t>Приложение №9 к Договору подряда №______________  от _________202</w:t>
      </w:r>
      <w:r>
        <w:rPr>
          <w:rFonts w:eastAsia="Times New Roman" w:cs="Times New Roman" w:ascii="Times New Roman" w:hAnsi="Times New Roman"/>
          <w:i w:val="false"/>
          <w:iCs w:val="false"/>
          <w:sz w:val="20"/>
          <w:szCs w:val="20"/>
        </w:rPr>
        <w:t xml:space="preserve">6 </w:t>
      </w:r>
      <w:r>
        <w:rPr>
          <w:rFonts w:eastAsia="Times New Roman" w:cs="Times New Roman" w:ascii="Times New Roman" w:hAnsi="Times New Roman"/>
          <w:i w:val="false"/>
          <w:iCs w:val="false"/>
          <w:sz w:val="20"/>
          <w:szCs w:val="20"/>
        </w:rPr>
        <w:t>г.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Порядок предоставления ресурсов и оказания Заказчиком услуг,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необходимых для исполнения Подрядчиком обязательств по Договору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</w:tabs>
        <w:ind w:left="0" w:hanging="0"/>
        <w:jc w:val="center"/>
        <w:rPr>
          <w:rFonts w:ascii="Times New Roman" w:hAnsi="Times New Roman" w:cs="Times New Roman"/>
          <w:b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Общие положения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целях оказания содействия Подрядчику в выполнении работ по Договору Заказчик обеспечивает Подрядчика коммунальными ресурсами, а также предоставляет Подрядчику услуги, указанные в разделе «Иные условия поставки товара, выполнения работ, оказания услуг» Технического задания (Приложение № 1 к Договору).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Техническое задание содержит полный перечень услуг (количественные, качественные и иные характеристики, время и место их предоставления, ограничения). 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Предоставление Заказчиком ресурсов и услуг, указанных в Техническом задании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учитываются.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Заказчик в зависимости от объема и состава работ, выполняемых Подрядчиком по Договору, может предоставлять / оказывать Подрядчику следующие ресурсы и / или услуги:</w:t>
      </w:r>
    </w:p>
    <w:p>
      <w:pPr>
        <w:pStyle w:val="Normal"/>
        <w:numPr>
          <w:ilvl w:val="0"/>
          <w:numId w:val="5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Перемещение грузов грузоподъемными механизмами Заказчика.</w:t>
      </w:r>
    </w:p>
    <w:p>
      <w:pPr>
        <w:pStyle w:val="Normal"/>
        <w:numPr>
          <w:ilvl w:val="0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Коммунальные ресурсы:</w:t>
      </w:r>
    </w:p>
    <w:p>
      <w:pPr>
        <w:pStyle w:val="Normal"/>
        <w:numPr>
          <w:ilvl w:val="1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Электроэнергия.</w:t>
      </w:r>
    </w:p>
    <w:p>
      <w:pPr>
        <w:pStyle w:val="Normal"/>
        <w:numPr>
          <w:ilvl w:val="1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Водоснабжение и водоотведение.</w:t>
      </w:r>
    </w:p>
    <w:p>
      <w:pPr>
        <w:pStyle w:val="Normal"/>
        <w:numPr>
          <w:ilvl w:val="1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Сжатый воздух.</w:t>
      </w:r>
    </w:p>
    <w:p>
      <w:pPr>
        <w:pStyle w:val="Normal"/>
        <w:numPr>
          <w:ilvl w:val="0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Обеспечение санитарно-гигиенических и бытовых условий.</w:t>
      </w:r>
    </w:p>
    <w:p>
      <w:pPr>
        <w:pStyle w:val="Normal"/>
        <w:numPr>
          <w:ilvl w:val="0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Содержание пожарной и сторожевой охраны.</w:t>
      </w:r>
    </w:p>
    <w:p>
      <w:pPr>
        <w:pStyle w:val="Normal"/>
        <w:numPr>
          <w:ilvl w:val="0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Благоустройство и содержание строительных площадок.</w:t>
      </w:r>
    </w:p>
    <w:p>
      <w:pPr>
        <w:pStyle w:val="Normal"/>
        <w:numPr>
          <w:ilvl w:val="0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Проведение химического анализа масел.</w:t>
      </w:r>
    </w:p>
    <w:p>
      <w:pPr>
        <w:pStyle w:val="Normal"/>
        <w:numPr>
          <w:ilvl w:val="0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Осушение оборудования (проточная часть гидроагрегата).</w:t>
      </w:r>
    </w:p>
    <w:p>
      <w:pPr>
        <w:pStyle w:val="Normal"/>
        <w:numPr>
          <w:ilvl w:val="0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Предоставление доступа к корпоративной сети </w:t>
      </w:r>
      <w:r>
        <w:rPr>
          <w:rFonts w:eastAsia="Times New Roman" w:cs="Times New Roman" w:ascii="Times New Roman" w:hAnsi="Times New Roman"/>
          <w:sz w:val="24"/>
          <w:szCs w:val="24"/>
          <w:lang w:val="en-US"/>
        </w:rPr>
        <w:t>IntraNet</w:t>
      </w:r>
      <w:r>
        <w:rPr>
          <w:rFonts w:eastAsia="Times New Roman" w:cs="Times New Roman"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Предоставление помещений:</w:t>
      </w:r>
    </w:p>
    <w:p>
      <w:pPr>
        <w:pStyle w:val="Normal"/>
        <w:numPr>
          <w:ilvl w:val="1"/>
          <w:numId w:val="1"/>
        </w:numPr>
        <w:spacing w:lineRule="auto" w:line="240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Помещений / площадок для размещения персонала Подрядчика; </w:t>
      </w:r>
    </w:p>
    <w:p>
      <w:pPr>
        <w:pStyle w:val="Normal"/>
        <w:numPr>
          <w:ilvl w:val="1"/>
          <w:numId w:val="1"/>
        </w:numPr>
        <w:spacing w:lineRule="auto" w:line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Складских помещений и / или площадок для погрузки / разгрузки / складирования / хранения материально-технических ресурсов, оборудования Подрядчика, а также давальческих материалов и запасных частей, оборудования Заказчика.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  <w:tab w:val="left" w:pos="1418" w:leader="none"/>
        </w:tabs>
        <w:ind w:left="0" w:hanging="0"/>
        <w:jc w:val="center"/>
        <w:rPr>
          <w:rFonts w:ascii="Times New Roman" w:hAnsi="Times New Roman" w:cs="Times New Roman"/>
          <w:b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Порядок предоставления ресурсов и услуг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34" w:leader="none"/>
          <w:tab w:val="left" w:pos="1418" w:leader="none"/>
        </w:tabs>
        <w:spacing w:before="0" w:after="120"/>
        <w:ind w:left="0" w:firstLine="709"/>
        <w:contextualSpacing/>
        <w:jc w:val="both"/>
        <w:rPr>
          <w:rFonts w:ascii="Times New Roman" w:hAnsi="Times New Roman" w:cs="Times New Roman"/>
          <w:b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</w:rPr>
        <w:t>Перемещение грузов грузоподъемными механизмами (далее – ГПМ) Заказчика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Услуги по перемещению грузов ГПМ Заказчика предоставляются по предварительным заявкам Подрядчика. Вид ГПМ, используемых для оказания услуг, определяются Заказчиком самостоятельно.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Управление ГПМ осуществляют работники Заказчика, имеющие специальную квалификацию (прошедшие обучение и аттестацию) и опыт работы, или работники специализированной эксплуатирующей организации, привлечённой Заказчиком для оказания услуг.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Заказчик обеспечивает содержание ГПМ в работоспособном состоянии, в том числе путем организации и планирования технического освидетельствования, технического обслуживания и ремонтов, а также соблюдение технологического процесса транспортировки грузов.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34" w:leader="none"/>
        </w:tabs>
        <w:spacing w:before="0" w:after="120"/>
        <w:ind w:left="0" w:firstLine="709"/>
        <w:contextualSpacing/>
        <w:rPr>
          <w:rFonts w:ascii="Times New Roman" w:hAnsi="Times New Roman" w:cs="Times New Roman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</w:rPr>
        <w:t>Предоставление ресурсов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12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Заказчик обеспечивает Подрядчика ресурсами (электроэнергией, водой, сжатым воздухом), необходимыми для бытовых и производственных нужд по потребности Подрядчика.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34" w:leader="none"/>
        </w:tabs>
        <w:spacing w:before="0" w:after="120"/>
        <w:ind w:left="0" w:firstLine="709"/>
        <w:contextualSpacing/>
        <w:jc w:val="both"/>
        <w:rPr>
          <w:rFonts w:ascii="Times New Roman" w:hAnsi="Times New Roman" w:cs="Times New Roman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</w:rPr>
        <w:t>Обеспечение санитарно-гигиенических и бытовых условий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Заказчик по установленным нормам оборудует санитарно-бытовые помещения, помещения для приема пищи, помещения для оказания медицинской помощи; организует посты для оказания первой медицинской помощи, укомплектованные аптечками, предоставляет душевые и уборные при их наличии в местах производства работ, и другое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обеспечение санитарно-гигиенических и бытовых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условий.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134" w:leader="none"/>
        </w:tabs>
        <w:spacing w:lineRule="auto" w:line="240" w:before="0" w:after="120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</w:rPr>
        <w:t>Содержание пожарной и сторожевой охраны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12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с установленными им правилами.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134" w:leader="none"/>
        </w:tabs>
        <w:spacing w:lineRule="auto" w:line="240" w:before="0" w:after="120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</w:rPr>
        <w:t>Благоустройство и содержание строительных площадок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Уборку места производства Работ, вывоз строительного мусора и отходов Подрядчика, образовавшихся в ходе выполнения Работ, в места, отведенные Заказчиком, обеспечивает Подрядчик.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Заказчик несет расходы, связанные с освещением места производства Работ: на электроэнергию, электролампочки, оплату труда (с отчислениями на социальные нужды) дежурных электромонтеров и другие расходы в соответствии с установленными Заказчиком правилами. При этом, дополнительное освещение мест производства Работ, при необходимости, обеспечивает Подрядчик (кроме затрат на ресурсы, предоставляемые Заказчиком в соответствии с пунктом 2 настоящего Порядка «Предоставление ресурсов»).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134" w:leader="none"/>
          <w:tab w:val="left" w:pos="1418" w:leader="none"/>
        </w:tabs>
        <w:spacing w:lineRule="auto" w:line="240" w:before="0" w:after="120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</w:rPr>
        <w:t>Проведение химического анализа масел</w:t>
      </w:r>
    </w:p>
    <w:p>
      <w:pPr>
        <w:pStyle w:val="Normal"/>
        <w:tabs>
          <w:tab w:val="clear" w:pos="708"/>
          <w:tab w:val="left" w:pos="1134" w:leader="none"/>
          <w:tab w:val="left" w:pos="1418" w:leader="none"/>
        </w:tabs>
        <w:spacing w:lineRule="auto" w:line="240" w:before="0" w:after="12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134" w:leader="none"/>
          <w:tab w:val="left" w:pos="1418" w:leader="none"/>
        </w:tabs>
        <w:spacing w:lineRule="auto" w:line="240" w:before="0" w:after="120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</w:rPr>
        <w:t>Осушение оборудования (проточная часть гидроагрегата)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12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Заказчик по письменной заявке Подрядчика осуществляет осушение проточной части гидроагрегата в соответствии с утвержденным графиком.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134" w:leader="none"/>
        </w:tabs>
        <w:spacing w:lineRule="auto" w:line="240" w:before="0" w:after="120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</w:rPr>
        <w:t>Порядок предоставления помещений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Заказчик обеспечивает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Подрядчика помещениями (помещения/ площадки для размещения персонала подрядчика; складские помещения и / или площадки для погрузки / разгрузки/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оборудования и иного переданного Заказчиком имущества)</w:t>
      </w:r>
      <w:r>
        <w:rPr>
          <w:rFonts w:eastAsia="Times New Roman" w:cs="Times New Roman" w:ascii="Times New Roman" w:hAnsi="Times New Roman"/>
          <w:sz w:val="24"/>
          <w:szCs w:val="24"/>
        </w:rPr>
        <w:t>, необходимыми для размещения персонала и хранения материально-технических ресурсов и оборудования, выполнения Работ по Договору.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Передача помещений осуществляется на основании акта сдачи-приемки по форме, согласованной Сторонами.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помещений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Подрядчик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 </w:t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Заказчик </w:t>
        <w:tab/>
        <w:tab/>
        <w:tab/>
        <w:tab/>
        <w:tab/>
        <w:tab/>
        <w:t xml:space="preserve">    Подрядчик</w:t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eastAsia="Times New Roman" w:cs="Times New Roman" w:ascii="Times New Roman" w:hAnsi="Times New Roman"/>
          <w:sz w:val="24"/>
          <w:szCs w:val="24"/>
          <w14:ligatures w14:val="none"/>
        </w:rPr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_______________ </w:t>
        <w:tab/>
        <w:tab/>
        <w:tab/>
        <w:tab/>
        <w:tab/>
        <w:t xml:space="preserve">    ___________</w:t>
      </w:r>
    </w:p>
    <w:sectPr>
      <w:footerReference w:type="default" r:id="rId2"/>
      <w:type w:val="nextPage"/>
      <w:pgSz w:w="11906" w:h="16838"/>
      <w:pgMar w:left="993" w:right="680" w:gutter="0" w:header="0" w:top="567" w:footer="709" w:bottom="766"/>
      <w:pgNumType w:start="26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">
    <w:name w:val="Основной шрифт абзаца"/>
    <w:uiPriority w:val="1"/>
    <w:unhideWhenUsed/>
    <w:qFormat/>
    <w:rPr/>
  </w:style>
  <w:style w:type="character" w:styleId="Style3">
    <w:name w:val="Верхний колонтитул Знак"/>
    <w:basedOn w:val="Style2"/>
    <w:uiPriority w:val="99"/>
    <w:qFormat/>
    <w:rPr/>
  </w:style>
  <w:style w:type="character" w:styleId="Style4">
    <w:name w:val="Нижний колонтитул Знак"/>
    <w:basedOn w:val="Style2"/>
    <w:uiPriority w:val="99"/>
    <w:qFormat/>
    <w:rPr/>
  </w:style>
  <w:style w:type="character" w:styleId="Style5">
    <w:name w:val="Знак примечания"/>
    <w:uiPriority w:val="99"/>
    <w:semiHidden/>
    <w:unhideWhenUsed/>
    <w:qFormat/>
    <w:rPr>
      <w:sz w:val="16"/>
      <w:szCs w:val="16"/>
    </w:rPr>
  </w:style>
  <w:style w:type="character" w:styleId="Style6">
    <w:name w:val="Текст примечания Знак"/>
    <w:uiPriority w:val="99"/>
    <w:semiHidden/>
    <w:qFormat/>
    <w:rPr>
      <w:sz w:val="20"/>
      <w:szCs w:val="20"/>
    </w:rPr>
  </w:style>
  <w:style w:type="character" w:styleId="Style7">
    <w:name w:val="Тема примечания Знак"/>
    <w:uiPriority w:val="99"/>
    <w:semiHidden/>
    <w:qFormat/>
    <w:rPr>
      <w:b/>
      <w:bCs/>
      <w:sz w:val="20"/>
      <w:szCs w:val="20"/>
    </w:rPr>
  </w:style>
  <w:style w:type="character" w:styleId="Style8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FontStyle17">
    <w:name w:val="Font Style17"/>
    <w:qFormat/>
    <w:rPr>
      <w:rFonts w:ascii="Times New Roman" w:hAnsi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2">
    <w:name w:val="Абзац списка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Style13">
    <w:name w:val="Без интервала"/>
    <w:uiPriority w:val="1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14">
    <w:name w:val="Текст примечания"/>
    <w:basedOn w:val="Normal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Style15">
    <w:name w:val="Тема примечания"/>
    <w:basedOn w:val="Style14"/>
    <w:uiPriority w:val="99"/>
    <w:semiHidden/>
    <w:unhideWhenUsed/>
    <w:qFormat/>
    <w:pPr/>
    <w:rPr>
      <w:b/>
      <w:bCs/>
    </w:rPr>
  </w:style>
  <w:style w:type="paragraph" w:styleId="Style16">
    <w:name w:val="Рецензия"/>
    <w:uiPriority w:val="99"/>
    <w:semiHidden/>
    <w:qFormat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Style17">
    <w:name w:val="Текст выноски"/>
    <w:basedOn w:val="Normal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8">
    <w:name w:val="Содержимое врезки"/>
    <w:basedOn w:val="Normal"/>
    <w:qFormat/>
    <w:pPr/>
    <w:rPr/>
  </w:style>
  <w:style w:type="numbering" w:styleId="Style19">
    <w:name w:val="Нет списка"/>
    <w:uiPriority w:val="99"/>
    <w:semiHidden/>
    <w:unhideWhenUsed/>
    <w:qFormat/>
  </w:style>
  <w:style w:type="numbering" w:styleId="NoList" w:default="1">
    <w:name w:val="No List"/>
    <w:uiPriority w:val="99"/>
    <w:semiHidden/>
    <w:unhideWhenUsed/>
    <w:qFormat/>
  </w:style>
  <w:style w:type="table" w:styleId="680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83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84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685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86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7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8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8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94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6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7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8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9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0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1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09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10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11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712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713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714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715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1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1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1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1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2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2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22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2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72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72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2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2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2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29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6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44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45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46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47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48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49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50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1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2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3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4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5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6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7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8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9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0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1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2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3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4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6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6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6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6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6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71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7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7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7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7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7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7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78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77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78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78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78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78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78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78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8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8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8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78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79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79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79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9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9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9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79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79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79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799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800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801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802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803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804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805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85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AlterOffice/2025.3.1.0$Linux_X86_64 LibreOffice_project/431cd1b79110582f53535c95ed0a2449aadc8bf9</Application>
  <AppVersion>15.0000</AppVersion>
  <Pages>3</Pages>
  <Words>671</Words>
  <Characters>5098</Characters>
  <CharactersWithSpaces>5728</CharactersWithSpaces>
  <Paragraphs>46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2024-02-25T22:38:00Z</dcterms:created>
  <dc:creator>Виногорова Наталья Олеговна</dc:creator>
  <dc:description/>
  <dc:language>ru-RU</dc:language>
  <cp:lastModifiedBy>chuvashev_vb@DGK.RU</cp:lastModifiedBy>
  <dcterms:modified xsi:type="dcterms:W3CDTF">2026-07-14T16:49:23Z</dcterms:modified>
  <cp:revision>19</cp:revision>
  <dc:subject/>
  <dc:title/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